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Blisko co 4. polska firma z branży e-commerce jest zarejestrowana w województwach dotkniętych powodzią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 względem tempa powstawania nowych firm, polski rynek e-commerce należy do najszybciej rozwijających się w Europie, a liczba zarejestrowanych w KRS podmiotów zbliża się do 70 tys. Aż 24 proc. działalności z tego sektora zarejestrowano w województwach dolnośląskim, opolskim, lubuskim i śląskim. Samo województwo śląskie zajmuje pod tym względem drugie miejsce w Polsce. Polski e-commerce jest mocno sfeminizowany – 41,3 proc. firm należy do kobiet. W zestawieniu wszystkich branż odsetek ten wynosi 20 proc.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zarejestrowanych jest </w:t>
      </w:r>
      <w:r>
        <w:rPr>
          <w:rFonts w:ascii="calibri" w:hAnsi="calibri" w:eastAsia="calibri" w:cs="calibri"/>
          <w:sz w:val="24"/>
          <w:szCs w:val="24"/>
          <w:b/>
        </w:rPr>
        <w:t xml:space="preserve">68,9 tys. firm zajmujących się handlem internetowym</w:t>
      </w:r>
      <w:r>
        <w:rPr>
          <w:rFonts w:ascii="calibri" w:hAnsi="calibri" w:eastAsia="calibri" w:cs="calibri"/>
          <w:sz w:val="24"/>
          <w:szCs w:val="24"/>
        </w:rPr>
        <w:t xml:space="preserve">, z czego </w:t>
      </w:r>
      <w:r>
        <w:rPr>
          <w:rFonts w:ascii="calibri" w:hAnsi="calibri" w:eastAsia="calibri" w:cs="calibri"/>
          <w:sz w:val="24"/>
          <w:szCs w:val="24"/>
          <w:b/>
        </w:rPr>
        <w:t xml:space="preserve">prawie co 4. w województwach dolnośląskim, opolskim, lubuskim i śląskim</w:t>
      </w:r>
      <w:r>
        <w:rPr>
          <w:rFonts w:ascii="calibri" w:hAnsi="calibri" w:eastAsia="calibri" w:cs="calibri"/>
          <w:sz w:val="24"/>
          <w:szCs w:val="24"/>
        </w:rPr>
        <w:t xml:space="preserve">, najbardziej dotkniętych obecną powodzią. Tak wynika z </w:t>
      </w:r>
      <w:r>
        <w:rPr>
          <w:rFonts w:ascii="calibri" w:hAnsi="calibri" w:eastAsia="calibri" w:cs="calibri"/>
          <w:sz w:val="24"/>
          <w:szCs w:val="24"/>
          <w:b/>
        </w:rPr>
        <w:t xml:space="preserve">nowej analizy danych z Krajowego Rejestru Sądowego</w:t>
      </w:r>
      <w:r>
        <w:rPr>
          <w:rFonts w:ascii="calibri" w:hAnsi="calibri" w:eastAsia="calibri" w:cs="calibri"/>
          <w:sz w:val="24"/>
          <w:szCs w:val="24"/>
        </w:rPr>
        <w:t xml:space="preserve">, przeprowadzonej przez wywiadownię Dun &amp; Bradstreet gospodarczą na zlecenie </w:t>
      </w:r>
      <w:r>
        <w:rPr>
          <w:rFonts w:ascii="calibri" w:hAnsi="calibri" w:eastAsia="calibri" w:cs="calibri"/>
          <w:sz w:val="24"/>
          <w:szCs w:val="24"/>
          <w:b/>
        </w:rPr>
        <w:t xml:space="preserve">Coolshop</w:t>
      </w:r>
      <w:r>
        <w:rPr>
          <w:rFonts w:ascii="calibri" w:hAnsi="calibri" w:eastAsia="calibri" w:cs="calibri"/>
          <w:sz w:val="24"/>
          <w:szCs w:val="24"/>
        </w:rPr>
        <w:t xml:space="preserve">, jednego z liderów skandynawskiego rynku e-commerce i nowego gracza na polskim rynku. W samym województwie </w:t>
      </w:r>
      <w:r>
        <w:rPr>
          <w:rFonts w:ascii="calibri" w:hAnsi="calibri" w:eastAsia="calibri" w:cs="calibri"/>
          <w:sz w:val="24"/>
          <w:szCs w:val="24"/>
          <w:b/>
        </w:rPr>
        <w:t xml:space="preserve">śląskim</w:t>
      </w:r>
      <w:r>
        <w:rPr>
          <w:rFonts w:ascii="calibri" w:hAnsi="calibri" w:eastAsia="calibri" w:cs="calibri"/>
          <w:sz w:val="24"/>
          <w:szCs w:val="24"/>
        </w:rPr>
        <w:t xml:space="preserve"> zarejestrowano </w:t>
      </w:r>
      <w:r>
        <w:rPr>
          <w:rFonts w:ascii="calibri" w:hAnsi="calibri" w:eastAsia="calibri" w:cs="calibri"/>
          <w:sz w:val="24"/>
          <w:szCs w:val="24"/>
          <w:b/>
        </w:rPr>
        <w:t xml:space="preserve">blisko 12 proc.</w:t>
      </w:r>
      <w:r>
        <w:rPr>
          <w:rFonts w:ascii="calibri" w:hAnsi="calibri" w:eastAsia="calibri" w:cs="calibri"/>
          <w:sz w:val="24"/>
          <w:szCs w:val="24"/>
        </w:rPr>
        <w:t xml:space="preserve"> wszystkich działalności e-commerce w Polsce, co plasuje je na drugim miejscu pod tym względem. Województwo</w:t>
      </w:r>
      <w:r>
        <w:rPr>
          <w:rFonts w:ascii="calibri" w:hAnsi="calibri" w:eastAsia="calibri" w:cs="calibri"/>
          <w:sz w:val="24"/>
          <w:szCs w:val="24"/>
          <w:b/>
        </w:rPr>
        <w:t xml:space="preserve"> dolnośląskie</w:t>
      </w:r>
      <w:r>
        <w:rPr>
          <w:rFonts w:ascii="calibri" w:hAnsi="calibri" w:eastAsia="calibri" w:cs="calibri"/>
          <w:sz w:val="24"/>
          <w:szCs w:val="24"/>
        </w:rPr>
        <w:t xml:space="preserve"> zajmuje piąte miejsce (blisko </w:t>
      </w:r>
      <w:r>
        <w:rPr>
          <w:rFonts w:ascii="calibri" w:hAnsi="calibri" w:eastAsia="calibri" w:cs="calibri"/>
          <w:sz w:val="24"/>
          <w:szCs w:val="24"/>
          <w:b/>
        </w:rPr>
        <w:t xml:space="preserve">8 proc.</w:t>
      </w:r>
      <w:r>
        <w:rPr>
          <w:rFonts w:ascii="calibri" w:hAnsi="calibri" w:eastAsia="calibri" w:cs="calibri"/>
          <w:sz w:val="24"/>
          <w:szCs w:val="24"/>
        </w:rPr>
        <w:t xml:space="preserve">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firm z branży handlu online – trochę </w:t>
      </w:r>
      <w:r>
        <w:rPr>
          <w:rFonts w:ascii="calibri" w:hAnsi="calibri" w:eastAsia="calibri" w:cs="calibri"/>
          <w:sz w:val="24"/>
          <w:szCs w:val="24"/>
          <w:b/>
        </w:rPr>
        <w:t xml:space="preserve">ponad ⅕</w:t>
      </w:r>
      <w:r>
        <w:rPr>
          <w:rFonts w:ascii="calibri" w:hAnsi="calibri" w:eastAsia="calibri" w:cs="calibri"/>
          <w:sz w:val="24"/>
          <w:szCs w:val="24"/>
        </w:rPr>
        <w:t xml:space="preserve"> – jest zarejestrowanych </w:t>
      </w:r>
      <w:r>
        <w:rPr>
          <w:rFonts w:ascii="calibri" w:hAnsi="calibri" w:eastAsia="calibri" w:cs="calibri"/>
          <w:sz w:val="24"/>
          <w:szCs w:val="24"/>
          <w:b/>
        </w:rPr>
        <w:t xml:space="preserve">w województwie mazowieckim</w:t>
      </w:r>
      <w:r>
        <w:rPr>
          <w:rFonts w:ascii="calibri" w:hAnsi="calibri" w:eastAsia="calibri" w:cs="calibri"/>
          <w:sz w:val="24"/>
          <w:szCs w:val="24"/>
        </w:rPr>
        <w:t xml:space="preserve">. Poza tym w pierwszej piątce znalazły się również województwa </w:t>
      </w:r>
      <w:r>
        <w:rPr>
          <w:rFonts w:ascii="calibri" w:hAnsi="calibri" w:eastAsia="calibri" w:cs="calibri"/>
          <w:sz w:val="24"/>
          <w:szCs w:val="24"/>
          <w:b/>
        </w:rPr>
        <w:t xml:space="preserve">małopolskie</w:t>
      </w:r>
      <w:r>
        <w:rPr>
          <w:rFonts w:ascii="calibri" w:hAnsi="calibri" w:eastAsia="calibri" w:cs="calibri"/>
          <w:sz w:val="24"/>
          <w:szCs w:val="24"/>
        </w:rPr>
        <w:t xml:space="preserve"> (10,4 proc.) i </w:t>
      </w:r>
      <w:r>
        <w:rPr>
          <w:rFonts w:ascii="calibri" w:hAnsi="calibri" w:eastAsia="calibri" w:cs="calibri"/>
          <w:sz w:val="24"/>
          <w:szCs w:val="24"/>
          <w:b/>
        </w:rPr>
        <w:t xml:space="preserve">wielkopolskie</w:t>
      </w:r>
      <w:r>
        <w:rPr>
          <w:rFonts w:ascii="calibri" w:hAnsi="calibri" w:eastAsia="calibri" w:cs="calibri"/>
          <w:sz w:val="24"/>
          <w:szCs w:val="24"/>
        </w:rPr>
        <w:t xml:space="preserve"> (9,8 proc.).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w samym województwie </w:t>
      </w:r>
      <w:r>
        <w:rPr>
          <w:rFonts w:ascii="calibri" w:hAnsi="calibri" w:eastAsia="calibri" w:cs="calibri"/>
          <w:sz w:val="24"/>
          <w:szCs w:val="24"/>
          <w:b/>
        </w:rPr>
        <w:t xml:space="preserve">opolskim</w:t>
      </w:r>
      <w:r>
        <w:rPr>
          <w:rFonts w:ascii="calibri" w:hAnsi="calibri" w:eastAsia="calibri" w:cs="calibri"/>
          <w:sz w:val="24"/>
          <w:szCs w:val="24"/>
        </w:rPr>
        <w:t xml:space="preserve"> odnotowano najmniejszy w Polsce odsetek zarejestrowanych firm z sektora e-commerce – tylko </w:t>
      </w:r>
      <w:r>
        <w:rPr>
          <w:rFonts w:ascii="calibri" w:hAnsi="calibri" w:eastAsia="calibri" w:cs="calibri"/>
          <w:sz w:val="24"/>
          <w:szCs w:val="24"/>
          <w:b/>
        </w:rPr>
        <w:t xml:space="preserve">1,7 proc.</w:t>
      </w:r>
      <w:r>
        <w:rPr>
          <w:rFonts w:ascii="calibri" w:hAnsi="calibri" w:eastAsia="calibri" w:cs="calibri"/>
          <w:sz w:val="24"/>
          <w:szCs w:val="24"/>
        </w:rPr>
        <w:t xml:space="preserve"> Województwo </w:t>
      </w:r>
      <w:r>
        <w:rPr>
          <w:rFonts w:ascii="calibri" w:hAnsi="calibri" w:eastAsia="calibri" w:cs="calibri"/>
          <w:sz w:val="24"/>
          <w:szCs w:val="24"/>
          <w:b/>
        </w:rPr>
        <w:t xml:space="preserve">lubuskie</w:t>
      </w:r>
      <w:r>
        <w:rPr>
          <w:rFonts w:ascii="calibri" w:hAnsi="calibri" w:eastAsia="calibri" w:cs="calibri"/>
          <w:sz w:val="24"/>
          <w:szCs w:val="24"/>
        </w:rPr>
        <w:t xml:space="preserve"> zajmuje piątą pozycję od końca, zarejestrowano w nim </w:t>
      </w:r>
      <w:r>
        <w:rPr>
          <w:rFonts w:ascii="calibri" w:hAnsi="calibri" w:eastAsia="calibri" w:cs="calibri"/>
          <w:sz w:val="24"/>
          <w:szCs w:val="24"/>
          <w:b/>
        </w:rPr>
        <w:t xml:space="preserve">2,8 proc.</w:t>
      </w:r>
      <w:r>
        <w:rPr>
          <w:rFonts w:ascii="calibri" w:hAnsi="calibri" w:eastAsia="calibri" w:cs="calibri"/>
          <w:sz w:val="24"/>
          <w:szCs w:val="24"/>
        </w:rPr>
        <w:t xml:space="preserve"> działalności z tego sektora.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Polacy chętnie robią zakupy online, polski rynek e-commerce pod względem liczby nowo zakładanych firm należy do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najszybciej rozwijających się w Europie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Jednym ze skutków powodzi może być przyspieszenie tego tempa, jeśli część przedsiębiorców z zalanych terenów zdecyduje się mocniej rozwijać działalność online. Jest szansa, że firmy zmagające się ze skutkami powodzi poradzą sobie, jeśli otrzymają właściwą pomoc i będą w stanie dalej funkcjonować. Na pewno ważne w tym wypadku jest wsparcie konsumentów i zrozumienie dla problemów mogących skutkować, chociażby, przejściowymi problemami z asortymentem czy dostawą. Warto zwrócić uwagę na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rządową propozycję wsparcia zakupu kas fiskalnych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przez przedsiębiorców, którzy przez powódź stracili możliwość prowadzenia biznesu. Bez tych urządzeń legalne wznowienie działalności nie jest możliwe –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Andrzej Rzym, szef polskiego oddziału Coolshop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40 proc. polskich e-commerce’ów w rękach kobiet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handel internetowy jest mocno sfeminizowany – </w:t>
      </w:r>
      <w:r>
        <w:rPr>
          <w:rFonts w:ascii="calibri" w:hAnsi="calibri" w:eastAsia="calibri" w:cs="calibri"/>
          <w:sz w:val="24"/>
          <w:szCs w:val="24"/>
          <w:b/>
        </w:rPr>
        <w:t xml:space="preserve">do kobiet należy 41,3 proc. zarejestrowanych w Polsce firm z branży e-commerce</w:t>
      </w:r>
      <w:r>
        <w:rPr>
          <w:rFonts w:ascii="calibri" w:hAnsi="calibri" w:eastAsia="calibri" w:cs="calibri"/>
          <w:sz w:val="24"/>
          <w:szCs w:val="24"/>
        </w:rPr>
        <w:t xml:space="preserve">. W ogólnym zestawieniu wszystkich branż odsetek ten jest znacznie niższy i wynosi ok. 20 proc. Wygląda na to, że polskie przedsiębiorczynie chętnie zwracają się ku nowoczesnym rozwiązaniom. Według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raportu</w:t>
        </w:r>
      </w:hyperlink>
      <w:r>
        <w:rPr>
          <w:rFonts w:ascii="calibri" w:hAnsi="calibri" w:eastAsia="calibri" w:cs="calibri"/>
          <w:sz w:val="24"/>
          <w:szCs w:val="24"/>
        </w:rPr>
        <w:t xml:space="preserve"> Sukcesu Pisanego Szminką, prawie ⅓ z nich planuje inwestować w narzędzia internetowe, które pomogą prowadzić firmę, a niemal 35 proc. już to zrobiło lub robi to stale.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polskich e-commerce’ów – prawie 60 proc. – należy do osób w wieku od 31 do 50 lat. Blisko 20 proc. jest własnością osób w wieku od 17 do 30 lat. W starszych grupach wiekowych udział ten systematycznie spada, chociaż, co ciekawe, </w:t>
      </w:r>
      <w:r>
        <w:rPr>
          <w:rFonts w:ascii="calibri" w:hAnsi="calibri" w:eastAsia="calibri" w:cs="calibri"/>
          <w:sz w:val="24"/>
          <w:szCs w:val="24"/>
          <w:b/>
        </w:rPr>
        <w:t xml:space="preserve">2,2 proc. firm zajmujących się sprzedażą internetową należy do osób powyżej 70. roku życia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cytowane w tekście pochodzą z badania Dun &amp; Bradstreet przeprowadzonego we wrześniu 2024 r. Analizie poddano dane z rejestru KRS.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kces_pisany_szminka.biuroprasowe.pl/199543/blisko-co-czwarta-polska-przedsiebiorczyni-osiaga-przychod-10-20-tys-zl-miesiecznie-polowa-deklaruje-wzrost-dochodow-w-porownaniu-do-poprzednich-l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2026-05-14T18:05:27+02:00</dcterms:created>
  <dcterms:modified xsi:type="dcterms:W3CDTF">2026-05-14T18:05:27+02:00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