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rejestrowanych jest średnio 20 nowych sklepów internetowych dziennie. Statystyczny polski e-commerce odnotowuje rocznie zysk w wysokości 250 tys. zł netto. Najnowsza analiza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Dynamika rozwoju polskiego rynku e-commerce w pierwszej połowie 2024 r. spadła w porównaniu z analogicznym okresem roku ubiegłego, ale i tak na koniec roku liczba zarejestrowanych w tej kategorii podmiotów zapewne przekroczy 70 tys. Według analizy przeprowadzonej na zlecenie skandynawskiego e-commerce’u Coolshop handel internetowy jest czwartą najpopularniejszą w Polsce branżą pod względem liczby nowo zakładanych firm. Najlepiej radzą sobie średnie podmioty o rocznych przychodach między 10 a 250 mln zł – w dobrej sytuacji finansowej jest niemal 90 proc.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rynek e-commerce należy do największych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Statystyczny sklep internetowy w Polsce wykazuje blisko 8 mln zł przychodu rocznie, co daje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zysk w wysokości 250 tys. zł netto</w:t>
      </w:r>
      <w:r>
        <w:rPr>
          <w:rFonts w:ascii="calibri" w:hAnsi="calibri" w:eastAsia="calibri" w:cs="calibri"/>
          <w:sz w:val="24"/>
          <w:szCs w:val="24"/>
        </w:rPr>
        <w:t xml:space="preserve">. Średnia rentowność sklepu internetowego działającego w Polsce to ok. 2,7 proc. Warto zaznaczyć, że na polskim rynku obecnych jest co najmniej kilka firm osiągających roczne przychody na poziomie miliardów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nowych firm rejestrowanych w Krajowym Rejestrze Sądowym, </w:t>
      </w:r>
      <w:r>
        <w:rPr>
          <w:rFonts w:ascii="calibri" w:hAnsi="calibri" w:eastAsia="calibri" w:cs="calibri"/>
          <w:sz w:val="24"/>
          <w:szCs w:val="24"/>
          <w:b/>
        </w:rPr>
        <w:t xml:space="preserve">e-commerce jest obecnie czwartą najszybciej rozwijającą się branżą w Polsce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przeprowadzonej na zlecenie Coolshop</w:t>
      </w:r>
      <w:r>
        <w:rPr>
          <w:rFonts w:ascii="calibri" w:hAnsi="calibri" w:eastAsia="calibri" w:cs="calibri"/>
          <w:sz w:val="24"/>
          <w:szCs w:val="24"/>
        </w:rPr>
        <w:t xml:space="preserve">, jednego z liderów skandynawskiego rynku e-commerce. W ciągu pierwszych sześciu miesięcy 2024 r. w KRS zarejestrowano prawie</w:t>
      </w:r>
      <w:r>
        <w:rPr>
          <w:rFonts w:ascii="calibri" w:hAnsi="calibri" w:eastAsia="calibri" w:cs="calibri"/>
          <w:sz w:val="24"/>
          <w:szCs w:val="24"/>
          <w:b/>
        </w:rPr>
        <w:t xml:space="preserve"> 7,2 tys. nowych firm, które jako swoją główną działalność podają sprzedaż przez Internet</w:t>
      </w:r>
      <w:r>
        <w:rPr>
          <w:rFonts w:ascii="calibri" w:hAnsi="calibri" w:eastAsia="calibri" w:cs="calibri"/>
          <w:sz w:val="24"/>
          <w:szCs w:val="24"/>
        </w:rPr>
        <w:t xml:space="preserve">. Największą popularnością wśród polskich przedsiębiorców cieszyła się w tym okresie działalność związana z oprogramowaniem – 10,6 nowo zarejestrowanych firm – drugie miejsce zajęły wykończeniowe prace budowlane (9,6 tys.) oraz fryzjerstwo (8,2 tys.). Analizę przeprowadziła wywiadownia gospodarcza Dun &amp; Bradstreet.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pierwszej połowie roku z KRS wykreślono działalność 3,9 tys. firm z branży e-commerce, a ponad 4,5 tys. działalności zostało zawieszonych. </w:t>
      </w:r>
      <w:r>
        <w:rPr>
          <w:rFonts w:ascii="calibri" w:hAnsi="calibri" w:eastAsia="calibri" w:cs="calibri"/>
          <w:sz w:val="24"/>
          <w:szCs w:val="24"/>
          <w:b/>
        </w:rPr>
        <w:t xml:space="preserve">Ogółem liczba sklepów internetowych w pierwszej połowie roku wzrosła więc o 3,3 tys.</w:t>
      </w:r>
      <w:r>
        <w:rPr>
          <w:rFonts w:ascii="calibri" w:hAnsi="calibri" w:eastAsia="calibri" w:cs="calibri"/>
          <w:sz w:val="24"/>
          <w:szCs w:val="24"/>
        </w:rPr>
        <w:t xml:space="preserve"> – o 600 mniej niż w analogicznym okresie ubiegłego roku. Mimo tego spadku dynamiki eksperci oceniają,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e-commerce należy do największych w Europie,</w:t>
      </w:r>
      <w:r>
        <w:rPr>
          <w:rFonts w:ascii="calibri" w:hAnsi="calibri" w:eastAsia="calibri" w:cs="calibri"/>
          <w:sz w:val="24"/>
          <w:szCs w:val="24"/>
        </w:rPr>
        <w:t xml:space="preserve"> a liczba zarejestrowanych w tym sektorze podmiotów na koniec 2024 r. przekroczy 70 tys. Obecnie jest ich już </w:t>
      </w:r>
      <w:r>
        <w:rPr>
          <w:rFonts w:ascii="calibri" w:hAnsi="calibri" w:eastAsia="calibri" w:cs="calibri"/>
          <w:sz w:val="24"/>
          <w:szCs w:val="24"/>
          <w:b/>
        </w:rPr>
        <w:t xml:space="preserve">68,9 tys.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handlu internetowego w Polsce znacząco przyspieszył pięć lat temu. Wcześniej liczba firm zarejestrowanych w branży e-commerce przez kilka lat utrzymywała się na poziomie ok. 27-29 tys. W </w:t>
      </w:r>
      <w:r>
        <w:rPr>
          <w:rFonts w:ascii="calibri" w:hAnsi="calibri" w:eastAsia="calibri" w:cs="calibri"/>
          <w:sz w:val="24"/>
          <w:szCs w:val="24"/>
          <w:b/>
        </w:rPr>
        <w:t xml:space="preserve">2019 r.</w:t>
      </w:r>
      <w:r>
        <w:rPr>
          <w:rFonts w:ascii="calibri" w:hAnsi="calibri" w:eastAsia="calibri" w:cs="calibri"/>
          <w:sz w:val="24"/>
          <w:szCs w:val="24"/>
        </w:rPr>
        <w:t xml:space="preserve"> osiągnęła 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35,6 tys.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2020 r.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44,5 tys.</w:t>
      </w:r>
      <w:r>
        <w:rPr>
          <w:rFonts w:ascii="calibri" w:hAnsi="calibri" w:eastAsia="calibri" w:cs="calibri"/>
          <w:sz w:val="24"/>
          <w:szCs w:val="24"/>
        </w:rPr>
        <w:t xml:space="preserve">, a 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przekroczyła 50 tys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sytuacja finansowa średnich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najlepszej kondycji finansowej znajdują się średnie firmy, </w:t>
      </w:r>
      <w:r>
        <w:rPr>
          <w:rFonts w:ascii="calibri" w:hAnsi="calibri" w:eastAsia="calibri" w:cs="calibri"/>
          <w:sz w:val="24"/>
          <w:szCs w:val="24"/>
        </w:rPr>
        <w:t xml:space="preserve">osiągające roczne przychody</w:t>
      </w:r>
      <w:r>
        <w:rPr>
          <w:rFonts w:ascii="calibri" w:hAnsi="calibri" w:eastAsia="calibri" w:cs="calibri"/>
          <w:sz w:val="24"/>
          <w:szCs w:val="24"/>
          <w:b/>
        </w:rPr>
        <w:t xml:space="preserve"> od 10 mln do 250 mln zł</w:t>
      </w:r>
      <w:r>
        <w:rPr>
          <w:rFonts w:ascii="calibri" w:hAnsi="calibri" w:eastAsia="calibri" w:cs="calibri"/>
          <w:sz w:val="24"/>
          <w:szCs w:val="24"/>
        </w:rPr>
        <w:t xml:space="preserve"> – w dobrej lub bardzo dobrej sytuacji znajduje się 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</w:t>
      </w:r>
      <w:r>
        <w:rPr>
          <w:rFonts w:ascii="calibri" w:hAnsi="calibri" w:eastAsia="calibri" w:cs="calibri"/>
          <w:sz w:val="24"/>
          <w:szCs w:val="24"/>
        </w:rPr>
        <w:t xml:space="preserve"> z nich. W najgorszej sytuacji są firmy młode i najmniejsze, z przychodem poniżej 10 mln zł rocznie – kondycja finansowa 52 proc. jest zła lub bardzo zła. W przypadku firm z przychodem powyżej 250 mln zł rocznie w dobrej lub bardzo dobrej kondycji znajduje się 81 proc., a 19 proc. w słabej. W tej kategorii nie odnotowano jednak w ogóle firm, których sytuacja finansowa byłaby bardzo zła.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polskich internautów regularnie kupuje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ostatnich danych Izby Gospodarki Elektronicznej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37 proc. polskich internautów kupuje online co najmniej pięć razy w miesiącu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o 9 punktów procentowych więcej niż w ubiegłym roku. Aż 87 proc. dokonało zakupu w Internecie w ciągu minionego półrocza, a 100 proc. zdarzyło się kupić coś przez Internet przynajmniej raz w życiu. Z punktu widzenia sklepu internetowego, który wchodzi na polski rynek, oczywiście jest to bardzo dobra wiadomość. Liczymy, na to, że Polacy docenią nasz asortyment prawie 45 tys. artykułów, w tym produktów skandynawskich marek, wyróżniających się wysoką jakością, dobrym designem oraz przywiązaniem do prostoty i użyteczności, a także oferowane przez nas promocje i niskie ceny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Coolshop jest obecnie</w:t>
      </w:r>
      <w:r>
        <w:rPr>
          <w:rFonts w:ascii="calibri" w:hAnsi="calibri" w:eastAsia="calibri" w:cs="calibri"/>
          <w:sz w:val="24"/>
          <w:szCs w:val="24"/>
          <w:b/>
        </w:rPr>
        <w:t xml:space="preserve"> jednym z liderów skandynawskiego rynku e-commerce</w:t>
      </w:r>
      <w:r>
        <w:rPr>
          <w:rFonts w:ascii="calibri" w:hAnsi="calibri" w:eastAsia="calibri" w:cs="calibri"/>
          <w:sz w:val="24"/>
          <w:szCs w:val="24"/>
        </w:rPr>
        <w:t xml:space="preserve"> i cały czas dynamicznie się rozwija. Działa na </w:t>
      </w:r>
      <w:r>
        <w:rPr>
          <w:rFonts w:ascii="calibri" w:hAnsi="calibri" w:eastAsia="calibri" w:cs="calibri"/>
          <w:sz w:val="24"/>
          <w:szCs w:val="24"/>
          <w:b/>
        </w:rPr>
        <w:t xml:space="preserve">9 rynkach </w:t>
      </w:r>
      <w:r>
        <w:rPr>
          <w:rFonts w:ascii="calibri" w:hAnsi="calibri" w:eastAsia="calibri" w:cs="calibri"/>
          <w:sz w:val="24"/>
          <w:szCs w:val="24"/>
        </w:rPr>
        <w:t xml:space="preserve">obejmujących ⅓ Europy, obsługując 2 miliony stałych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sierpniu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2026-06-27T18:36:47+02:00</dcterms:created>
  <dcterms:modified xsi:type="dcterms:W3CDTF">2026-06-27T18:36:47+02:00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